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43" w:rsidRDefault="00410343" w:rsidP="00410343">
      <w:pPr>
        <w:shd w:val="clear" w:color="auto" w:fill="FFFFFF"/>
        <w:spacing w:after="270" w:line="660" w:lineRule="atLeast"/>
        <w:textAlignment w:val="baseline"/>
        <w:outlineLvl w:val="0"/>
        <w:rPr>
          <w:rFonts w:ascii="Times New Roman" w:eastAsia="Times New Roman" w:hAnsi="Times New Roman" w:cs="Times New Roman"/>
          <w:color w:val="101010"/>
          <w:spacing w:val="11"/>
          <w:kern w:val="36"/>
          <w:sz w:val="60"/>
          <w:szCs w:val="60"/>
          <w:lang w:eastAsia="fr-FR"/>
        </w:rPr>
      </w:pPr>
      <w:r w:rsidRPr="00410343">
        <w:rPr>
          <w:rFonts w:ascii="Times New Roman" w:eastAsia="Times New Roman" w:hAnsi="Times New Roman" w:cs="Times New Roman"/>
          <w:color w:val="101010"/>
          <w:spacing w:val="11"/>
          <w:kern w:val="36"/>
          <w:sz w:val="60"/>
          <w:szCs w:val="60"/>
          <w:lang w:eastAsia="fr-FR"/>
        </w:rPr>
        <w:t xml:space="preserve">Great Place to </w:t>
      </w:r>
      <w:proofErr w:type="spellStart"/>
      <w:r w:rsidRPr="00410343">
        <w:rPr>
          <w:rFonts w:ascii="Times New Roman" w:eastAsia="Times New Roman" w:hAnsi="Times New Roman" w:cs="Times New Roman"/>
          <w:color w:val="101010"/>
          <w:spacing w:val="11"/>
          <w:kern w:val="36"/>
          <w:sz w:val="60"/>
          <w:szCs w:val="60"/>
          <w:lang w:eastAsia="fr-FR"/>
        </w:rPr>
        <w:t>Work</w:t>
      </w:r>
      <w:proofErr w:type="spellEnd"/>
      <w:r w:rsidRPr="00410343">
        <w:rPr>
          <w:rFonts w:ascii="Times New Roman" w:eastAsia="Times New Roman" w:hAnsi="Times New Roman" w:cs="Times New Roman"/>
          <w:color w:val="101010"/>
          <w:spacing w:val="11"/>
          <w:kern w:val="36"/>
          <w:sz w:val="60"/>
          <w:szCs w:val="60"/>
          <w:lang w:eastAsia="fr-FR"/>
        </w:rPr>
        <w:t>: ces entreprises où il fait bon travailler en France en 2018</w:t>
      </w:r>
    </w:p>
    <w:p w:rsidR="00410343" w:rsidRPr="00410343" w:rsidRDefault="00410343" w:rsidP="00410343">
      <w:pPr>
        <w:shd w:val="clear" w:color="auto" w:fill="FFFFFF"/>
        <w:spacing w:after="270" w:line="660" w:lineRule="atLeast"/>
        <w:textAlignment w:val="baseline"/>
        <w:outlineLvl w:val="0"/>
        <w:rPr>
          <w:rFonts w:ascii="Times New Roman" w:eastAsia="Times New Roman" w:hAnsi="Times New Roman" w:cs="Times New Roman"/>
          <w:color w:val="101010"/>
          <w:spacing w:val="11"/>
          <w:kern w:val="36"/>
          <w:sz w:val="60"/>
          <w:szCs w:val="60"/>
          <w:lang w:eastAsia="fr-FR"/>
        </w:rPr>
      </w:pPr>
      <w:r w:rsidRPr="00410343">
        <w:rPr>
          <w:rFonts w:ascii="Times New Roman" w:eastAsia="Times New Roman" w:hAnsi="Times New Roman" w:cs="Times New Roman"/>
          <w:color w:val="101010"/>
          <w:spacing w:val="2"/>
          <w:sz w:val="21"/>
          <w:szCs w:val="21"/>
          <w:u w:val="single"/>
          <w:bdr w:val="none" w:sz="0" w:space="0" w:color="auto" w:frame="1"/>
          <w:lang w:eastAsia="fr-FR"/>
        </w:rPr>
        <w:t xml:space="preserve">Marion </w:t>
      </w:r>
      <w:proofErr w:type="spellStart"/>
      <w:r w:rsidRPr="00410343">
        <w:rPr>
          <w:rFonts w:ascii="Times New Roman" w:eastAsia="Times New Roman" w:hAnsi="Times New Roman" w:cs="Times New Roman"/>
          <w:color w:val="101010"/>
          <w:spacing w:val="2"/>
          <w:sz w:val="21"/>
          <w:szCs w:val="21"/>
          <w:u w:val="single"/>
          <w:bdr w:val="none" w:sz="0" w:space="0" w:color="auto" w:frame="1"/>
          <w:lang w:eastAsia="fr-FR"/>
        </w:rPr>
        <w:t>Perroud</w:t>
      </w:r>
      <w:proofErr w:type="spellEnd"/>
      <w:r>
        <w:rPr>
          <w:rFonts w:ascii="Times New Roman" w:eastAsia="Times New Roman" w:hAnsi="Times New Roman" w:cs="Times New Roman"/>
          <w:color w:val="101010"/>
          <w:spacing w:val="2"/>
          <w:sz w:val="21"/>
          <w:szCs w:val="21"/>
          <w:u w:val="single"/>
          <w:bdr w:val="none" w:sz="0" w:space="0" w:color="auto" w:frame="1"/>
          <w:lang w:eastAsia="fr-FR"/>
        </w:rPr>
        <w:t xml:space="preserve"> le </w:t>
      </w:r>
      <w:r>
        <w:rPr>
          <w:rFonts w:ascii="Times New Roman" w:eastAsia="Times New Roman" w:hAnsi="Times New Roman" w:cs="Times New Roman"/>
          <w:color w:val="A6A6A6"/>
          <w:spacing w:val="2"/>
          <w:sz w:val="21"/>
          <w:szCs w:val="21"/>
          <w:u w:val="single"/>
          <w:bdr w:val="none" w:sz="0" w:space="0" w:color="auto" w:frame="1"/>
          <w:lang w:eastAsia="fr-FR"/>
        </w:rPr>
        <w:t xml:space="preserve">28.03.2018 </w:t>
      </w:r>
    </w:p>
    <w:p w:rsidR="00410343" w:rsidRDefault="00410343" w:rsidP="00410343">
      <w:pPr>
        <w:shd w:val="clear" w:color="auto" w:fill="FFFFFF"/>
        <w:spacing w:after="0" w:line="270" w:lineRule="atLeast"/>
        <w:textAlignment w:val="baseline"/>
        <w:outlineLvl w:val="2"/>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 xml:space="preserve">Le 16e palmarès Great Place to </w:t>
      </w:r>
      <w:proofErr w:type="spellStart"/>
      <w:r w:rsidRPr="00410343">
        <w:rPr>
          <w:rFonts w:ascii="Times New Roman" w:eastAsia="Times New Roman" w:hAnsi="Times New Roman" w:cs="Times New Roman"/>
          <w:color w:val="101010"/>
          <w:spacing w:val="2"/>
          <w:sz w:val="24"/>
          <w:szCs w:val="24"/>
          <w:lang w:eastAsia="fr-FR"/>
        </w:rPr>
        <w:t>Work</w:t>
      </w:r>
      <w:proofErr w:type="spellEnd"/>
      <w:r w:rsidRPr="00410343">
        <w:rPr>
          <w:rFonts w:ascii="Times New Roman" w:eastAsia="Times New Roman" w:hAnsi="Times New Roman" w:cs="Times New Roman"/>
          <w:color w:val="101010"/>
          <w:spacing w:val="2"/>
          <w:sz w:val="24"/>
          <w:szCs w:val="24"/>
          <w:lang w:eastAsia="fr-FR"/>
        </w:rPr>
        <w:t xml:space="preserve"> des entreprises où il fait bon travailler vient d'être </w:t>
      </w:r>
    </w:p>
    <w:p w:rsidR="00410343" w:rsidRPr="00410343" w:rsidRDefault="00410343" w:rsidP="00410343">
      <w:pPr>
        <w:shd w:val="clear" w:color="auto" w:fill="FFFFFF"/>
        <w:spacing w:after="0" w:line="270" w:lineRule="atLeast"/>
        <w:textAlignment w:val="baseline"/>
        <w:outlineLvl w:val="2"/>
        <w:rPr>
          <w:rFonts w:ascii="Times New Roman" w:eastAsia="Times New Roman" w:hAnsi="Times New Roman" w:cs="Times New Roman"/>
          <w:color w:val="101010"/>
          <w:spacing w:val="2"/>
          <w:sz w:val="24"/>
          <w:szCs w:val="24"/>
          <w:lang w:eastAsia="fr-FR"/>
        </w:rPr>
      </w:pPr>
    </w:p>
    <w:p w:rsidR="00410343" w:rsidRPr="00410343" w:rsidRDefault="00410343" w:rsidP="00410343">
      <w:pPr>
        <w:shd w:val="clear" w:color="auto" w:fill="FFFFFF"/>
        <w:spacing w:after="0" w:line="240" w:lineRule="auto"/>
        <w:textAlignment w:val="baseline"/>
        <w:rPr>
          <w:rFonts w:ascii="inherit" w:eastAsia="Times New Roman" w:hAnsi="inherit" w:cs="Helvetica"/>
          <w:color w:val="101010"/>
          <w:spacing w:val="2"/>
          <w:sz w:val="2"/>
          <w:szCs w:val="2"/>
          <w:lang w:eastAsia="fr-FR"/>
        </w:rPr>
      </w:pP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inherit" w:eastAsia="Times New Roman" w:hAnsi="inherit" w:cs="Times New Roman"/>
          <w:b/>
          <w:bCs/>
          <w:color w:val="101010"/>
          <w:spacing w:val="2"/>
          <w:sz w:val="24"/>
          <w:szCs w:val="24"/>
          <w:bdr w:val="none" w:sz="0" w:space="0" w:color="auto" w:frame="1"/>
          <w:lang w:eastAsia="fr-FR"/>
        </w:rPr>
        <w:t>Challenges : Sur quels critères sont jugées les entreprises figurant au palmarès?</w:t>
      </w: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inherit" w:eastAsia="Times New Roman" w:hAnsi="inherit" w:cs="Times New Roman"/>
          <w:b/>
          <w:bCs/>
          <w:color w:val="101010"/>
          <w:spacing w:val="2"/>
          <w:sz w:val="24"/>
          <w:szCs w:val="24"/>
          <w:bdr w:val="none" w:sz="0" w:space="0" w:color="auto" w:frame="1"/>
          <w:lang w:eastAsia="fr-FR"/>
        </w:rPr>
        <w:t xml:space="preserve">Patrick Dumoulin, DG de Great Place to </w:t>
      </w:r>
      <w:proofErr w:type="spellStart"/>
      <w:r w:rsidRPr="00410343">
        <w:rPr>
          <w:rFonts w:ascii="inherit" w:eastAsia="Times New Roman" w:hAnsi="inherit" w:cs="Times New Roman"/>
          <w:b/>
          <w:bCs/>
          <w:color w:val="101010"/>
          <w:spacing w:val="2"/>
          <w:sz w:val="24"/>
          <w:szCs w:val="24"/>
          <w:bdr w:val="none" w:sz="0" w:space="0" w:color="auto" w:frame="1"/>
          <w:lang w:eastAsia="fr-FR"/>
        </w:rPr>
        <w:t>Work</w:t>
      </w:r>
      <w:proofErr w:type="spellEnd"/>
      <w:r w:rsidRPr="00410343">
        <w:rPr>
          <w:rFonts w:ascii="inherit" w:eastAsia="Times New Roman" w:hAnsi="inherit" w:cs="Times New Roman"/>
          <w:b/>
          <w:bCs/>
          <w:color w:val="101010"/>
          <w:spacing w:val="2"/>
          <w:sz w:val="24"/>
          <w:szCs w:val="24"/>
          <w:bdr w:val="none" w:sz="0" w:space="0" w:color="auto" w:frame="1"/>
          <w:lang w:eastAsia="fr-FR"/>
        </w:rPr>
        <w:t xml:space="preserve"> France :</w:t>
      </w:r>
      <w:r w:rsidRPr="00410343">
        <w:rPr>
          <w:rFonts w:ascii="Times New Roman" w:eastAsia="Times New Roman" w:hAnsi="Times New Roman" w:cs="Times New Roman"/>
          <w:color w:val="101010"/>
          <w:spacing w:val="2"/>
          <w:sz w:val="24"/>
          <w:szCs w:val="24"/>
          <w:lang w:eastAsia="fr-FR"/>
        </w:rPr>
        <w:t xml:space="preserve"> Deux tiers de l'évaluation reposent sur les résultats de notre sondage anonyme "Trust Index" composé de 64 questions transmises à l'ensemble des salariés des entreprises candidates. Typiquement, il s'agit de questions mesurant la confiance accordée au management, la fierté d'appartenance, la convivialité dans les équipes… Pour être labellisées Great Place to </w:t>
      </w:r>
      <w:proofErr w:type="spellStart"/>
      <w:r w:rsidRPr="00410343">
        <w:rPr>
          <w:rFonts w:ascii="Times New Roman" w:eastAsia="Times New Roman" w:hAnsi="Times New Roman" w:cs="Times New Roman"/>
          <w:color w:val="101010"/>
          <w:spacing w:val="2"/>
          <w:sz w:val="24"/>
          <w:szCs w:val="24"/>
          <w:lang w:eastAsia="fr-FR"/>
        </w:rPr>
        <w:t>Work</w:t>
      </w:r>
      <w:proofErr w:type="spellEnd"/>
      <w:r w:rsidRPr="00410343">
        <w:rPr>
          <w:rFonts w:ascii="Times New Roman" w:eastAsia="Times New Roman" w:hAnsi="Times New Roman" w:cs="Times New Roman"/>
          <w:color w:val="101010"/>
          <w:spacing w:val="2"/>
          <w:sz w:val="24"/>
          <w:szCs w:val="24"/>
          <w:lang w:eastAsia="fr-FR"/>
        </w:rPr>
        <w:t>, les entreprises de moins de 500 salariés doivent obtenir au moins 70% de réponses positives, celles de plus de 500 salariés, au moins 66%.</w:t>
      </w:r>
    </w:p>
    <w:p w:rsidR="00410343" w:rsidRDefault="00410343" w:rsidP="00410343">
      <w:pPr>
        <w:shd w:val="clear" w:color="auto" w:fill="FFFFFF"/>
        <w:spacing w:after="270" w:line="285" w:lineRule="atLeast"/>
        <w:textAlignment w:val="baseline"/>
        <w:rPr>
          <w:rFonts w:ascii="Times New Roman" w:eastAsia="Times New Roman" w:hAnsi="Times New Roman" w:cs="Times New Roman"/>
          <w:color w:val="101010"/>
          <w:spacing w:val="2"/>
          <w:sz w:val="24"/>
          <w:szCs w:val="24"/>
          <w:lang w:eastAsia="fr-FR"/>
        </w:rPr>
      </w:pPr>
    </w:p>
    <w:p w:rsidR="00410343" w:rsidRPr="00410343" w:rsidRDefault="00410343" w:rsidP="00410343">
      <w:pPr>
        <w:shd w:val="clear" w:color="auto" w:fill="FFFFFF"/>
        <w:spacing w:after="27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En plus de ce premier critère, nous menons un "culture audit", qui représente le tiers de l'évaluation finale. Autrement dit, nous adressons un dossier à compléter détaillant les méthodes de recrutement, d'intégration ou encore de management des équipes. Au terme de cet audit, les entreprises doivent obtenir au minimum 30 points sur 60 pour espérer être éligibles. Le palmarès agrège ensuite les meilleures entreprises labellisées dans chaque catégorie: 50-500 salariés, 500-5.000 salariés, et plus de 5.000 salariés.</w:t>
      </w: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inherit" w:eastAsia="Times New Roman" w:hAnsi="inherit" w:cs="Times New Roman"/>
          <w:b/>
          <w:bCs/>
          <w:color w:val="101010"/>
          <w:spacing w:val="2"/>
          <w:sz w:val="24"/>
          <w:szCs w:val="24"/>
          <w:bdr w:val="none" w:sz="0" w:space="0" w:color="auto" w:frame="1"/>
          <w:lang w:eastAsia="fr-FR"/>
        </w:rPr>
        <w:t>Combien coûte cette labellisation pour les entreprises?</w:t>
      </w:r>
    </w:p>
    <w:p w:rsidR="00410343" w:rsidRPr="00410343" w:rsidRDefault="00410343" w:rsidP="00410343">
      <w:pPr>
        <w:shd w:val="clear" w:color="auto" w:fill="FFFFFF"/>
        <w:spacing w:after="27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Cela varie en fonction de la taille. Réaliser le sondage et le "culture audit" coûte au minimum 5.900 euros HT pour une entreprise. Je tiens à préciser au passage que ces évaluations sont intégralement gérées en interne par nos équipes.</w:t>
      </w: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inherit" w:eastAsia="Times New Roman" w:hAnsi="inherit" w:cs="Times New Roman"/>
          <w:b/>
          <w:bCs/>
          <w:color w:val="101010"/>
          <w:spacing w:val="2"/>
          <w:sz w:val="24"/>
          <w:szCs w:val="24"/>
          <w:bdr w:val="none" w:sz="0" w:space="0" w:color="auto" w:frame="1"/>
          <w:lang w:eastAsia="fr-FR"/>
        </w:rPr>
        <w:t>Quels sont les grands enseignements de l'édition 2018?</w:t>
      </w: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 xml:space="preserve">Cette année, 244 entreprises ont postulé au processus de labellisation. Sur la ligne d'arrivée, seules 79 d'entre elles figurent au palmarès, soit 32% des candidates. Si certaines conservent leur rang, telles que </w:t>
      </w:r>
      <w:proofErr w:type="spellStart"/>
      <w:r w:rsidRPr="00410343">
        <w:rPr>
          <w:rFonts w:ascii="Times New Roman" w:eastAsia="Times New Roman" w:hAnsi="Times New Roman" w:cs="Times New Roman"/>
          <w:color w:val="101010"/>
          <w:spacing w:val="2"/>
          <w:sz w:val="24"/>
          <w:szCs w:val="24"/>
          <w:lang w:eastAsia="fr-FR"/>
        </w:rPr>
        <w:t>Decathlon</w:t>
      </w:r>
      <w:proofErr w:type="spellEnd"/>
      <w:r w:rsidRPr="00410343">
        <w:rPr>
          <w:rFonts w:ascii="Times New Roman" w:eastAsia="Times New Roman" w:hAnsi="Times New Roman" w:cs="Times New Roman"/>
          <w:color w:val="101010"/>
          <w:spacing w:val="2"/>
          <w:sz w:val="24"/>
          <w:szCs w:val="24"/>
          <w:lang w:eastAsia="fr-FR"/>
        </w:rPr>
        <w:t xml:space="preserve"> qui reste première de sa catégorie, on peut souligner l'entrée remarquée de plusieurs entreprises comme </w:t>
      </w:r>
      <w:proofErr w:type="spellStart"/>
      <w:r w:rsidRPr="00410343">
        <w:rPr>
          <w:rFonts w:ascii="Times New Roman" w:eastAsia="Times New Roman" w:hAnsi="Times New Roman" w:cs="Times New Roman"/>
          <w:color w:val="101010"/>
          <w:spacing w:val="2"/>
          <w:sz w:val="24"/>
          <w:szCs w:val="24"/>
          <w:lang w:eastAsia="fr-FR"/>
        </w:rPr>
        <w:fldChar w:fldCharType="begin"/>
      </w:r>
      <w:r w:rsidRPr="00410343">
        <w:rPr>
          <w:rFonts w:ascii="Times New Roman" w:eastAsia="Times New Roman" w:hAnsi="Times New Roman" w:cs="Times New Roman"/>
          <w:color w:val="101010"/>
          <w:spacing w:val="2"/>
          <w:sz w:val="24"/>
          <w:szCs w:val="24"/>
          <w:lang w:eastAsia="fr-FR"/>
        </w:rPr>
        <w:instrText xml:space="preserve"> HYPERLINK "https://www.challenges.fr/tag_entreprise/salesforce_7703/" </w:instrText>
      </w:r>
      <w:r w:rsidRPr="00410343">
        <w:rPr>
          <w:rFonts w:ascii="Times New Roman" w:eastAsia="Times New Roman" w:hAnsi="Times New Roman" w:cs="Times New Roman"/>
          <w:color w:val="101010"/>
          <w:spacing w:val="2"/>
          <w:sz w:val="24"/>
          <w:szCs w:val="24"/>
          <w:lang w:eastAsia="fr-FR"/>
        </w:rPr>
        <w:fldChar w:fldCharType="separate"/>
      </w:r>
      <w:r w:rsidRPr="00410343">
        <w:rPr>
          <w:rFonts w:ascii="Times New Roman" w:eastAsia="Times New Roman" w:hAnsi="Times New Roman" w:cs="Times New Roman"/>
          <w:color w:val="101010"/>
          <w:spacing w:val="2"/>
          <w:sz w:val="24"/>
          <w:szCs w:val="24"/>
          <w:u w:val="single"/>
          <w:bdr w:val="none" w:sz="0" w:space="0" w:color="auto" w:frame="1"/>
          <w:lang w:eastAsia="fr-FR"/>
        </w:rPr>
        <w:t>Salesforce</w:t>
      </w:r>
      <w:proofErr w:type="spellEnd"/>
      <w:r w:rsidRPr="00410343">
        <w:rPr>
          <w:rFonts w:ascii="Times New Roman" w:eastAsia="Times New Roman" w:hAnsi="Times New Roman" w:cs="Times New Roman"/>
          <w:color w:val="101010"/>
          <w:spacing w:val="2"/>
          <w:sz w:val="24"/>
          <w:szCs w:val="24"/>
          <w:lang w:eastAsia="fr-FR"/>
        </w:rPr>
        <w:fldChar w:fldCharType="end"/>
      </w:r>
      <w:r w:rsidRPr="00410343">
        <w:rPr>
          <w:rFonts w:ascii="Times New Roman" w:eastAsia="Times New Roman" w:hAnsi="Times New Roman" w:cs="Times New Roman"/>
          <w:color w:val="101010"/>
          <w:spacing w:val="2"/>
          <w:sz w:val="24"/>
          <w:szCs w:val="24"/>
          <w:lang w:eastAsia="fr-FR"/>
        </w:rPr>
        <w:t>, qui arrive dès sa première participation directement à la première place du classement de la catégorie 500-5.000. A noter sur ce point que cet éditeur de logiciel est déjà n°1 aux Etats-Unis et au palmarès monde.</w:t>
      </w: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On peut encore citer d'autres nouveaux venus très bien classés comme </w:t>
      </w:r>
      <w:proofErr w:type="spellStart"/>
      <w:r w:rsidRPr="00410343">
        <w:rPr>
          <w:rFonts w:ascii="Times New Roman" w:eastAsia="Times New Roman" w:hAnsi="Times New Roman" w:cs="Times New Roman"/>
          <w:color w:val="101010"/>
          <w:spacing w:val="2"/>
          <w:sz w:val="24"/>
          <w:szCs w:val="24"/>
          <w:lang w:eastAsia="fr-FR"/>
        </w:rPr>
        <w:fldChar w:fldCharType="begin"/>
      </w:r>
      <w:r w:rsidRPr="00410343">
        <w:rPr>
          <w:rFonts w:ascii="Times New Roman" w:eastAsia="Times New Roman" w:hAnsi="Times New Roman" w:cs="Times New Roman"/>
          <w:color w:val="101010"/>
          <w:spacing w:val="2"/>
          <w:sz w:val="24"/>
          <w:szCs w:val="24"/>
          <w:lang w:eastAsia="fr-FR"/>
        </w:rPr>
        <w:instrText xml:space="preserve"> HYPERLINK "https://www.challenges.fr/tag_entreprise/doctolib_12457/" </w:instrText>
      </w:r>
      <w:r w:rsidRPr="00410343">
        <w:rPr>
          <w:rFonts w:ascii="Times New Roman" w:eastAsia="Times New Roman" w:hAnsi="Times New Roman" w:cs="Times New Roman"/>
          <w:color w:val="101010"/>
          <w:spacing w:val="2"/>
          <w:sz w:val="24"/>
          <w:szCs w:val="24"/>
          <w:lang w:eastAsia="fr-FR"/>
        </w:rPr>
        <w:fldChar w:fldCharType="separate"/>
      </w:r>
      <w:r w:rsidRPr="00410343">
        <w:rPr>
          <w:rFonts w:ascii="Times New Roman" w:eastAsia="Times New Roman" w:hAnsi="Times New Roman" w:cs="Times New Roman"/>
          <w:color w:val="101010"/>
          <w:spacing w:val="2"/>
          <w:sz w:val="24"/>
          <w:szCs w:val="24"/>
          <w:u w:val="single"/>
          <w:bdr w:val="none" w:sz="0" w:space="0" w:color="auto" w:frame="1"/>
          <w:lang w:eastAsia="fr-FR"/>
        </w:rPr>
        <w:t>Doctolib</w:t>
      </w:r>
      <w:proofErr w:type="spellEnd"/>
      <w:r w:rsidRPr="00410343">
        <w:rPr>
          <w:rFonts w:ascii="Times New Roman" w:eastAsia="Times New Roman" w:hAnsi="Times New Roman" w:cs="Times New Roman"/>
          <w:color w:val="101010"/>
          <w:spacing w:val="2"/>
          <w:sz w:val="24"/>
          <w:szCs w:val="24"/>
          <w:lang w:eastAsia="fr-FR"/>
        </w:rPr>
        <w:fldChar w:fldCharType="end"/>
      </w:r>
      <w:r w:rsidRPr="00410343">
        <w:rPr>
          <w:rFonts w:ascii="Times New Roman" w:eastAsia="Times New Roman" w:hAnsi="Times New Roman" w:cs="Times New Roman"/>
          <w:color w:val="101010"/>
          <w:spacing w:val="2"/>
          <w:sz w:val="24"/>
          <w:szCs w:val="24"/>
          <w:lang w:eastAsia="fr-FR"/>
        </w:rPr>
        <w:t>, spécialisé dans la réservation en ligne de rendez-vous médical, qui arrive à la 17</w:t>
      </w:r>
      <w:r w:rsidRPr="00410343">
        <w:rPr>
          <w:rFonts w:ascii="inherit" w:eastAsia="Times New Roman" w:hAnsi="inherit" w:cs="Times New Roman"/>
          <w:color w:val="101010"/>
          <w:spacing w:val="2"/>
          <w:sz w:val="17"/>
          <w:szCs w:val="17"/>
          <w:bdr w:val="none" w:sz="0" w:space="0" w:color="auto" w:frame="1"/>
          <w:vertAlign w:val="superscript"/>
          <w:lang w:eastAsia="fr-FR"/>
        </w:rPr>
        <w:t>e</w:t>
      </w:r>
      <w:r w:rsidRPr="00410343">
        <w:rPr>
          <w:rFonts w:ascii="Times New Roman" w:eastAsia="Times New Roman" w:hAnsi="Times New Roman" w:cs="Times New Roman"/>
          <w:color w:val="101010"/>
          <w:spacing w:val="2"/>
          <w:sz w:val="24"/>
          <w:szCs w:val="24"/>
          <w:lang w:eastAsia="fr-FR"/>
        </w:rPr>
        <w:t xml:space="preserve"> place des 50-500, ou </w:t>
      </w:r>
      <w:proofErr w:type="spellStart"/>
      <w:r w:rsidRPr="00410343">
        <w:rPr>
          <w:rFonts w:ascii="Times New Roman" w:eastAsia="Times New Roman" w:hAnsi="Times New Roman" w:cs="Times New Roman"/>
          <w:color w:val="101010"/>
          <w:spacing w:val="2"/>
          <w:sz w:val="24"/>
          <w:szCs w:val="24"/>
          <w:lang w:eastAsia="fr-FR"/>
        </w:rPr>
        <w:t>Legallais</w:t>
      </w:r>
      <w:proofErr w:type="spellEnd"/>
      <w:r w:rsidRPr="00410343">
        <w:rPr>
          <w:rFonts w:ascii="Times New Roman" w:eastAsia="Times New Roman" w:hAnsi="Times New Roman" w:cs="Times New Roman"/>
          <w:color w:val="101010"/>
          <w:spacing w:val="2"/>
          <w:sz w:val="24"/>
          <w:szCs w:val="24"/>
          <w:lang w:eastAsia="fr-FR"/>
        </w:rPr>
        <w:t> dans la quincaillerie professionnelle, qui ravit d'entrée de jeu la 16</w:t>
      </w:r>
      <w:r w:rsidRPr="00410343">
        <w:rPr>
          <w:rFonts w:ascii="inherit" w:eastAsia="Times New Roman" w:hAnsi="inherit" w:cs="Times New Roman"/>
          <w:color w:val="101010"/>
          <w:spacing w:val="2"/>
          <w:sz w:val="17"/>
          <w:szCs w:val="17"/>
          <w:bdr w:val="none" w:sz="0" w:space="0" w:color="auto" w:frame="1"/>
          <w:vertAlign w:val="superscript"/>
          <w:lang w:eastAsia="fr-FR"/>
        </w:rPr>
        <w:t>e</w:t>
      </w:r>
      <w:r w:rsidRPr="00410343">
        <w:rPr>
          <w:rFonts w:ascii="Times New Roman" w:eastAsia="Times New Roman" w:hAnsi="Times New Roman" w:cs="Times New Roman"/>
          <w:color w:val="101010"/>
          <w:spacing w:val="2"/>
          <w:sz w:val="24"/>
          <w:szCs w:val="24"/>
          <w:lang w:eastAsia="fr-FR"/>
        </w:rPr>
        <w:t xml:space="preserve"> place de la catégorie 500-5.000. D'autres entreprises ont aussi changé de catégorie tout en conservant une place tout à fait remarquable au classement, comme c'est le cas de l'entreprise </w:t>
      </w:r>
      <w:proofErr w:type="spellStart"/>
      <w:r w:rsidRPr="00410343">
        <w:rPr>
          <w:rFonts w:ascii="Times New Roman" w:eastAsia="Times New Roman" w:hAnsi="Times New Roman" w:cs="Times New Roman"/>
          <w:color w:val="101010"/>
          <w:spacing w:val="2"/>
          <w:sz w:val="24"/>
          <w:szCs w:val="24"/>
          <w:lang w:eastAsia="fr-FR"/>
        </w:rPr>
        <w:lastRenderedPageBreak/>
        <w:t>Leboncoin</w:t>
      </w:r>
      <w:proofErr w:type="spellEnd"/>
      <w:r w:rsidRPr="00410343">
        <w:rPr>
          <w:rFonts w:ascii="Times New Roman" w:eastAsia="Times New Roman" w:hAnsi="Times New Roman" w:cs="Times New Roman"/>
          <w:color w:val="101010"/>
          <w:spacing w:val="2"/>
          <w:sz w:val="24"/>
          <w:szCs w:val="24"/>
          <w:lang w:eastAsia="fr-FR"/>
        </w:rPr>
        <w:t>, qui est passée en 2017 de la 34</w:t>
      </w:r>
      <w:r w:rsidRPr="00410343">
        <w:rPr>
          <w:rFonts w:ascii="inherit" w:eastAsia="Times New Roman" w:hAnsi="inherit" w:cs="Times New Roman"/>
          <w:color w:val="101010"/>
          <w:spacing w:val="2"/>
          <w:sz w:val="17"/>
          <w:szCs w:val="17"/>
          <w:bdr w:val="none" w:sz="0" w:space="0" w:color="auto" w:frame="1"/>
          <w:vertAlign w:val="superscript"/>
          <w:lang w:eastAsia="fr-FR"/>
        </w:rPr>
        <w:t>e</w:t>
      </w:r>
      <w:r w:rsidRPr="00410343">
        <w:rPr>
          <w:rFonts w:ascii="Times New Roman" w:eastAsia="Times New Roman" w:hAnsi="Times New Roman" w:cs="Times New Roman"/>
          <w:color w:val="101010"/>
          <w:spacing w:val="2"/>
          <w:sz w:val="24"/>
          <w:szCs w:val="24"/>
          <w:lang w:eastAsia="fr-FR"/>
        </w:rPr>
        <w:t>place des 50-500 à la 7</w:t>
      </w:r>
      <w:r w:rsidRPr="00410343">
        <w:rPr>
          <w:rFonts w:ascii="inherit" w:eastAsia="Times New Roman" w:hAnsi="inherit" w:cs="Times New Roman"/>
          <w:color w:val="101010"/>
          <w:spacing w:val="2"/>
          <w:sz w:val="17"/>
          <w:szCs w:val="17"/>
          <w:bdr w:val="none" w:sz="0" w:space="0" w:color="auto" w:frame="1"/>
          <w:vertAlign w:val="superscript"/>
          <w:lang w:eastAsia="fr-FR"/>
        </w:rPr>
        <w:t>e</w:t>
      </w:r>
      <w:r w:rsidRPr="00410343">
        <w:rPr>
          <w:rFonts w:ascii="Times New Roman" w:eastAsia="Times New Roman" w:hAnsi="Times New Roman" w:cs="Times New Roman"/>
          <w:color w:val="101010"/>
          <w:spacing w:val="2"/>
          <w:sz w:val="24"/>
          <w:szCs w:val="24"/>
          <w:lang w:eastAsia="fr-FR"/>
        </w:rPr>
        <w:t> place de la catégorie 500-5.000 cette année, illustrant ainsi une grande stabilité managériale.</w:t>
      </w:r>
    </w:p>
    <w:p w:rsidR="00410343" w:rsidRPr="00410343" w:rsidRDefault="00410343" w:rsidP="00410343">
      <w:pPr>
        <w:shd w:val="clear" w:color="auto" w:fill="FFFFFF"/>
        <w:spacing w:after="27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L'une des autres tendances intéressantes à souligner est l'augmentation du nombre de lauréats dans les territoires, de Lyon à Marseille en passant par Bordeaux, Strasbourg ou Caen. Selon moi, cela traduit une prise de conscience globale extrêmement forte des dirigeants français sur ces questions de bien-être au travail.</w:t>
      </w: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inherit" w:eastAsia="Times New Roman" w:hAnsi="inherit" w:cs="Times New Roman"/>
          <w:b/>
          <w:bCs/>
          <w:color w:val="101010"/>
          <w:spacing w:val="2"/>
          <w:sz w:val="24"/>
          <w:szCs w:val="24"/>
          <w:bdr w:val="none" w:sz="0" w:space="0" w:color="auto" w:frame="1"/>
          <w:lang w:eastAsia="fr-FR"/>
        </w:rPr>
        <w:t>Concrètement, quels types de pratiques RH remarquables adoptent les lauréats?  </w:t>
      </w:r>
    </w:p>
    <w:p w:rsidR="00410343" w:rsidRPr="00410343" w:rsidRDefault="00410343" w:rsidP="00410343">
      <w:pPr>
        <w:shd w:val="clear" w:color="auto" w:fill="FFFFFF"/>
        <w:spacing w:after="27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 xml:space="preserve">Quelle que soit leur taille, on retrouve dans toutes ces entreprises une forte culture de l'innovation, un management agile et collaboratif et une réelle proximité managériale. Par exemple, </w:t>
      </w:r>
      <w:proofErr w:type="spellStart"/>
      <w:r w:rsidRPr="00410343">
        <w:rPr>
          <w:rFonts w:ascii="Times New Roman" w:eastAsia="Times New Roman" w:hAnsi="Times New Roman" w:cs="Times New Roman"/>
          <w:color w:val="101010"/>
          <w:spacing w:val="2"/>
          <w:sz w:val="24"/>
          <w:szCs w:val="24"/>
          <w:lang w:eastAsia="fr-FR"/>
        </w:rPr>
        <w:t>Octo</w:t>
      </w:r>
      <w:proofErr w:type="spellEnd"/>
      <w:r w:rsidRPr="00410343">
        <w:rPr>
          <w:rFonts w:ascii="Times New Roman" w:eastAsia="Times New Roman" w:hAnsi="Times New Roman" w:cs="Times New Roman"/>
          <w:color w:val="101010"/>
          <w:spacing w:val="2"/>
          <w:sz w:val="24"/>
          <w:szCs w:val="24"/>
          <w:lang w:eastAsia="fr-FR"/>
        </w:rPr>
        <w:t xml:space="preserve"> </w:t>
      </w:r>
      <w:proofErr w:type="spellStart"/>
      <w:r w:rsidRPr="00410343">
        <w:rPr>
          <w:rFonts w:ascii="Times New Roman" w:eastAsia="Times New Roman" w:hAnsi="Times New Roman" w:cs="Times New Roman"/>
          <w:color w:val="101010"/>
          <w:spacing w:val="2"/>
          <w:sz w:val="24"/>
          <w:szCs w:val="24"/>
          <w:lang w:eastAsia="fr-FR"/>
        </w:rPr>
        <w:t>Technology</w:t>
      </w:r>
      <w:proofErr w:type="spellEnd"/>
      <w:r w:rsidRPr="00410343">
        <w:rPr>
          <w:rFonts w:ascii="Times New Roman" w:eastAsia="Times New Roman" w:hAnsi="Times New Roman" w:cs="Times New Roman"/>
          <w:color w:val="101010"/>
          <w:spacing w:val="2"/>
          <w:sz w:val="24"/>
          <w:szCs w:val="24"/>
          <w:lang w:eastAsia="fr-FR"/>
        </w:rPr>
        <w:t xml:space="preserve"> a mis en place des rendez-vous hebdomadaires entre le salarié et son manager afin de renforcer les échanges. Une autre entreprise, </w:t>
      </w:r>
      <w:proofErr w:type="spellStart"/>
      <w:r w:rsidRPr="00410343">
        <w:rPr>
          <w:rFonts w:ascii="Times New Roman" w:eastAsia="Times New Roman" w:hAnsi="Times New Roman" w:cs="Times New Roman"/>
          <w:color w:val="101010"/>
          <w:spacing w:val="2"/>
          <w:sz w:val="24"/>
          <w:szCs w:val="24"/>
          <w:lang w:eastAsia="fr-FR"/>
        </w:rPr>
        <w:t>Accuracy</w:t>
      </w:r>
      <w:proofErr w:type="spellEnd"/>
      <w:r w:rsidRPr="00410343">
        <w:rPr>
          <w:rFonts w:ascii="Times New Roman" w:eastAsia="Times New Roman" w:hAnsi="Times New Roman" w:cs="Times New Roman"/>
          <w:color w:val="101010"/>
          <w:spacing w:val="2"/>
          <w:sz w:val="24"/>
          <w:szCs w:val="24"/>
          <w:lang w:eastAsia="fr-FR"/>
        </w:rPr>
        <w:t>, a créé son programme de formation intensive de deux semaines, suivi par tous les nouveaux salariés recrutés. Autre initiative intéressante, celle de Sophia Engineering qui a adopté la décision par consentement. Autrement dit, toutes les décisions stratégiques et opérationnelles sont soumises à l'approbation des salariés. Vous l'aurez compris, il n'y pas de nouvelle pratique révolutionnaire à proprement parler mais plutôt une variété d'actions mises en place.</w:t>
      </w: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z w:val="24"/>
          <w:szCs w:val="24"/>
          <w:lang w:eastAsia="fr-FR"/>
        </w:rPr>
      </w:pPr>
      <w:hyperlink r:id="rId6" w:history="1">
        <w:r w:rsidRPr="00410343">
          <w:rPr>
            <w:rFonts w:ascii="Times New Roman" w:eastAsia="Times New Roman" w:hAnsi="Times New Roman" w:cs="Times New Roman"/>
            <w:color w:val="101010"/>
            <w:spacing w:val="12"/>
            <w:sz w:val="24"/>
            <w:szCs w:val="24"/>
            <w:u w:val="single"/>
            <w:bdr w:val="none" w:sz="0" w:space="0" w:color="auto" w:frame="1"/>
            <w:lang w:eastAsia="fr-FR"/>
          </w:rPr>
          <w:t xml:space="preserve">Great Place to </w:t>
        </w:r>
        <w:proofErr w:type="spellStart"/>
        <w:r w:rsidRPr="00410343">
          <w:rPr>
            <w:rFonts w:ascii="Times New Roman" w:eastAsia="Times New Roman" w:hAnsi="Times New Roman" w:cs="Times New Roman"/>
            <w:color w:val="101010"/>
            <w:spacing w:val="12"/>
            <w:sz w:val="24"/>
            <w:szCs w:val="24"/>
            <w:u w:val="single"/>
            <w:bdr w:val="none" w:sz="0" w:space="0" w:color="auto" w:frame="1"/>
            <w:lang w:eastAsia="fr-FR"/>
          </w:rPr>
          <w:t>Work</w:t>
        </w:r>
        <w:proofErr w:type="spellEnd"/>
        <w:r w:rsidRPr="00410343">
          <w:rPr>
            <w:rFonts w:ascii="Times New Roman" w:eastAsia="Times New Roman" w:hAnsi="Times New Roman" w:cs="Times New Roman"/>
            <w:color w:val="101010"/>
            <w:spacing w:val="12"/>
            <w:sz w:val="24"/>
            <w:szCs w:val="24"/>
            <w:u w:val="single"/>
            <w:bdr w:val="none" w:sz="0" w:space="0" w:color="auto" w:frame="1"/>
            <w:lang w:eastAsia="fr-FR"/>
          </w:rPr>
          <w:t>: ces entreprises de plus de 5.000 salariés où il fait bon travailler en 2018</w:t>
        </w:r>
      </w:hyperlink>
    </w:p>
    <w:p w:rsidR="00410343" w:rsidRPr="00410343" w:rsidRDefault="00410343" w:rsidP="00410343">
      <w:pPr>
        <w:shd w:val="clear" w:color="auto" w:fill="FFFFFF"/>
        <w:spacing w:after="27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 </w:t>
      </w: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inherit" w:eastAsia="Times New Roman" w:hAnsi="inherit" w:cs="Times New Roman"/>
          <w:b/>
          <w:bCs/>
          <w:color w:val="101010"/>
          <w:spacing w:val="2"/>
          <w:sz w:val="24"/>
          <w:szCs w:val="24"/>
          <w:bdr w:val="none" w:sz="0" w:space="0" w:color="auto" w:frame="1"/>
          <w:lang w:eastAsia="fr-FR"/>
        </w:rPr>
        <w:t>Quels sont les impacts de ces politiques RH selon vous?</w:t>
      </w:r>
    </w:p>
    <w:p w:rsidR="00410343" w:rsidRPr="00410343" w:rsidRDefault="00410343" w:rsidP="00410343">
      <w:pPr>
        <w:shd w:val="clear" w:color="auto" w:fill="FFFFFF"/>
        <w:spacing w:after="27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Déjà, on relève un plus fort engagement des salariés de ces entreprises. Chaque année nous réalisons, en parallèle du palmarès, une enquête auprès des Français sur leur bien-être au travail. Les résultats sont saisissants. 49% des quelque 3.000 personnes que nous avons interrogées entre février et mars affirment se rendre au travail avec plaisir. Dans les entreprises lauréates, 80% des salariés répondent de façon similaire. De même, 57% des Français sondés expriment une fierté d'appartenance vis-à-vis de leur employeur. Chez nos lauréats, ils sont 87%; soit des écarts d'environ 30 points en moyenne ! Par ailleurs, quand on regarde leurs résultats financiers, toutes ces entreprises enregistrent des croissances significatives. Preuve, selon nous, que ces méthodes permettent d'obtenir le meilleur potentiel de chacun, au service de la performance de la société.</w:t>
      </w:r>
    </w:p>
    <w:p w:rsidR="00410343" w:rsidRPr="00410343" w:rsidRDefault="00410343" w:rsidP="00410343">
      <w:pPr>
        <w:shd w:val="clear" w:color="auto" w:fill="FFFFFF"/>
        <w:spacing w:after="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inherit" w:eastAsia="Times New Roman" w:hAnsi="inherit" w:cs="Times New Roman"/>
          <w:b/>
          <w:bCs/>
          <w:color w:val="101010"/>
          <w:spacing w:val="2"/>
          <w:sz w:val="24"/>
          <w:szCs w:val="24"/>
          <w:bdr w:val="none" w:sz="0" w:space="0" w:color="auto" w:frame="1"/>
          <w:lang w:eastAsia="fr-FR"/>
        </w:rPr>
        <w:t>C'est justement peut-être cette bonne santé financière qui participe à ce climat de satisfaction interne, non?</w:t>
      </w:r>
    </w:p>
    <w:p w:rsidR="00410343" w:rsidRPr="00410343" w:rsidRDefault="00410343" w:rsidP="00410343">
      <w:pPr>
        <w:shd w:val="clear" w:color="auto" w:fill="FFFFFF"/>
        <w:spacing w:after="270" w:line="285" w:lineRule="atLeast"/>
        <w:textAlignment w:val="baseline"/>
        <w:rPr>
          <w:rFonts w:ascii="Times New Roman" w:eastAsia="Times New Roman" w:hAnsi="Times New Roman" w:cs="Times New Roman"/>
          <w:color w:val="101010"/>
          <w:spacing w:val="2"/>
          <w:sz w:val="24"/>
          <w:szCs w:val="24"/>
          <w:lang w:eastAsia="fr-FR"/>
        </w:rPr>
      </w:pPr>
      <w:r w:rsidRPr="00410343">
        <w:rPr>
          <w:rFonts w:ascii="Times New Roman" w:eastAsia="Times New Roman" w:hAnsi="Times New Roman" w:cs="Times New Roman"/>
          <w:color w:val="101010"/>
          <w:spacing w:val="2"/>
          <w:sz w:val="24"/>
          <w:szCs w:val="24"/>
          <w:lang w:eastAsia="fr-FR"/>
        </w:rPr>
        <w:t>Elle y participe, bien sûr. Mais nous nous apercevons que quelles que soient la taille et l'ancienneté de ces entreprises, c'est avant tout la volonté des dirigeants de miser sur la qualité de vie au travail qui est saluée par les salariés. Dans nos enquêtes, la très forte confiance exprimée par les salariés vis-à-vis de leur management et de leurs collègues est d'ailleurs le critère numéro un que partage tous les lauréats du palmarès.</w:t>
      </w:r>
    </w:p>
    <w:p w:rsidR="00410343" w:rsidRPr="00410343" w:rsidRDefault="00410343" w:rsidP="00410343">
      <w:pPr>
        <w:shd w:val="clear" w:color="auto" w:fill="FFFFFF"/>
        <w:spacing w:before="450" w:after="150" w:line="374" w:lineRule="atLeast"/>
        <w:textAlignment w:val="baseline"/>
        <w:outlineLvl w:val="2"/>
        <w:rPr>
          <w:rFonts w:ascii="Times New Roman" w:eastAsia="Times New Roman" w:hAnsi="Times New Roman" w:cs="Times New Roman"/>
          <w:b/>
          <w:bCs/>
          <w:color w:val="101010"/>
          <w:spacing w:val="11"/>
          <w:sz w:val="27"/>
          <w:szCs w:val="27"/>
          <w:lang w:eastAsia="fr-FR"/>
        </w:rPr>
      </w:pPr>
      <w:r w:rsidRPr="00410343">
        <w:rPr>
          <w:rFonts w:ascii="Times New Roman" w:eastAsia="Times New Roman" w:hAnsi="Times New Roman" w:cs="Times New Roman"/>
          <w:b/>
          <w:bCs/>
          <w:color w:val="101010"/>
          <w:spacing w:val="11"/>
          <w:sz w:val="27"/>
          <w:szCs w:val="27"/>
          <w:lang w:eastAsia="fr-FR"/>
        </w:rPr>
        <w:t>Palmarès des entreprises de 50 à 500 salariés: </w:t>
      </w:r>
    </w:p>
    <w:tbl>
      <w:tblPr>
        <w:tblW w:w="0" w:type="auto"/>
        <w:tblBorders>
          <w:top w:val="single" w:sz="6" w:space="0" w:color="D9D9D9"/>
          <w:left w:val="single" w:sz="6" w:space="0" w:color="D9D9D9"/>
          <w:bottom w:val="single" w:sz="6" w:space="0" w:color="D9D9D9"/>
          <w:right w:val="single" w:sz="6" w:space="0" w:color="D9D9D9"/>
        </w:tblBorders>
        <w:tblCellMar>
          <w:left w:w="0" w:type="dxa"/>
          <w:right w:w="0" w:type="dxa"/>
        </w:tblCellMar>
        <w:tblLook w:val="04A0" w:firstRow="1" w:lastRow="0" w:firstColumn="1" w:lastColumn="0" w:noHBand="0" w:noVBand="1"/>
      </w:tblPr>
      <w:tblGrid>
        <w:gridCol w:w="779"/>
        <w:gridCol w:w="4218"/>
        <w:gridCol w:w="1094"/>
        <w:gridCol w:w="2316"/>
        <w:gridCol w:w="965"/>
      </w:tblGrid>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Rang</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Entreprise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Création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Siège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Effectif</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ZENIKA</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312</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OCTO TECHNOLOGY</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364</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COLOMBUS CONSULTING</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125</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UPTOO</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88</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KLAXOON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Cesson-Sévigné</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120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ACCURACY</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Neuilly-sur-Seine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171</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VIRTUALEXPO</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Marseille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168</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CADENCE DESIGN SYSTEMS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proofErr w:type="spellStart"/>
            <w:r w:rsidRPr="00410343">
              <w:rPr>
                <w:rFonts w:ascii="inherit" w:eastAsia="Times New Roman" w:hAnsi="inherit" w:cs="Times New Roman"/>
                <w:sz w:val="21"/>
                <w:szCs w:val="21"/>
                <w:lang w:eastAsia="fr-FR"/>
              </w:rPr>
              <w:t>Velizy</w:t>
            </w:r>
            <w:proofErr w:type="spellEnd"/>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120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AZEO</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Boulogne-Billancourt</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105</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DAVRICOURT</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Levallois-Perret</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220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val="en-US" w:eastAsia="fr-FR"/>
              </w:rPr>
            </w:pPr>
            <w:r w:rsidRPr="00410343">
              <w:rPr>
                <w:rFonts w:ascii="inherit" w:eastAsia="Times New Roman" w:hAnsi="inherit" w:cs="Times New Roman"/>
                <w:sz w:val="21"/>
                <w:szCs w:val="21"/>
                <w:lang w:val="en-US" w:eastAsia="fr-FR"/>
              </w:rPr>
              <w:t>W.L. GORE &amp; ASSOCIES, SARL</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1972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48</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SOPHIA ENGINEERING</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Sophia Antipolis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220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LR TECHNOLOGIES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Versailles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170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RCA</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Saint-Herblain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75</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ADSEARCH</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96</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AILANCY</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83</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DOCTOLIB</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294</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VO2 GROUP</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79</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GARANCE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185</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ADONE CONSEIL</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106</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WEB-ATRIO</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68</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IVIDATA GROUP</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Levallois-Perret</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237</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STRYKER FRANCE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1941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proofErr w:type="spellStart"/>
            <w:r w:rsidRPr="00410343">
              <w:rPr>
                <w:rFonts w:ascii="inherit" w:eastAsia="Times New Roman" w:hAnsi="inherit" w:cs="Times New Roman"/>
                <w:sz w:val="21"/>
                <w:szCs w:val="21"/>
                <w:lang w:eastAsia="fr-FR"/>
              </w:rPr>
              <w:t>Pusignan</w:t>
            </w:r>
            <w:proofErr w:type="spellEnd"/>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372</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GROUPE C'PRO</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Valence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393</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SAS FRANCE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Brie-Comte-Robert</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270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QUATERNAIRE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52</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lastRenderedPageBreak/>
              <w:t>27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ACIES – ABGI GROUP</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Lyon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81</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NEXEO GROUPE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231</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NETXP</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Boulogne-Billancourt</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89</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EMISYS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proofErr w:type="spellStart"/>
            <w:r w:rsidRPr="00410343">
              <w:rPr>
                <w:rFonts w:ascii="inherit" w:eastAsia="Times New Roman" w:hAnsi="inherit" w:cs="Times New Roman"/>
                <w:sz w:val="21"/>
                <w:szCs w:val="21"/>
                <w:lang w:eastAsia="fr-FR"/>
              </w:rPr>
              <w:t>Montbonnot</w:t>
            </w:r>
            <w:proofErr w:type="spellEnd"/>
            <w:r w:rsidRPr="00410343">
              <w:rPr>
                <w:rFonts w:ascii="inherit" w:eastAsia="Times New Roman" w:hAnsi="inherit" w:cs="Times New Roman"/>
                <w:sz w:val="21"/>
                <w:szCs w:val="21"/>
                <w:lang w:eastAsia="fr-FR"/>
              </w:rPr>
              <w:t>-Saint-Martin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DES SYSTÈMES ET DES HOMMES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140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ITELIOS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140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LA FINANCIÈRE DE L'ECHIQUIER</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 </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104</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A5SYS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Saint-Herblain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56</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NEXWORLD</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81</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ACCEO</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Gémenos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167</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ROBERT WALTERS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137</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L'OLIVIER - ASSURANCE AUTO</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264</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PRIME ENGINEERING</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Boulogne-Billancourt</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259</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KLEE GROUP</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Le Plessis-Robinson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466</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55 | FIFTY-FIVE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123</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SILTEA</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72</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SYCOMORE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63</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NEXTOO</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Roubaix</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83</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MERCEDES-BENZ FINANCIAL SERVICES S.A</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Montigny-le-Bretonneux</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222</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THEANO ADVISORS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EASYVISTA</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Noisy-le-Grand</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90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IMCD</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1934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La Plaine Saint-Denis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148</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MUTUELLE MEDICIS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62</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BROWN-FORMAN FRACE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111</w:t>
            </w:r>
          </w:p>
        </w:tc>
      </w:tr>
    </w:tbl>
    <w:p w:rsidR="00410343" w:rsidRPr="00410343" w:rsidRDefault="00410343" w:rsidP="00410343">
      <w:pPr>
        <w:shd w:val="clear" w:color="auto" w:fill="FFFFFF"/>
        <w:spacing w:before="450" w:after="150" w:line="374" w:lineRule="atLeast"/>
        <w:textAlignment w:val="baseline"/>
        <w:outlineLvl w:val="2"/>
        <w:rPr>
          <w:rFonts w:ascii="Times New Roman" w:eastAsia="Times New Roman" w:hAnsi="Times New Roman" w:cs="Times New Roman"/>
          <w:b/>
          <w:bCs/>
          <w:color w:val="101010"/>
          <w:spacing w:val="11"/>
          <w:sz w:val="27"/>
          <w:szCs w:val="27"/>
          <w:lang w:eastAsia="fr-FR"/>
        </w:rPr>
      </w:pPr>
      <w:r w:rsidRPr="00410343">
        <w:rPr>
          <w:rFonts w:ascii="Times New Roman" w:eastAsia="Times New Roman" w:hAnsi="Times New Roman" w:cs="Times New Roman"/>
          <w:b/>
          <w:bCs/>
          <w:color w:val="101010"/>
          <w:spacing w:val="11"/>
          <w:sz w:val="27"/>
          <w:szCs w:val="27"/>
          <w:lang w:eastAsia="fr-FR"/>
        </w:rPr>
        <w:lastRenderedPageBreak/>
        <w:t>Palmarès des entreprises entre 500 et 5.000 salariés:</w:t>
      </w:r>
    </w:p>
    <w:tbl>
      <w:tblPr>
        <w:tblW w:w="0" w:type="auto"/>
        <w:tblBorders>
          <w:top w:val="single" w:sz="6" w:space="0" w:color="D9D9D9"/>
          <w:left w:val="single" w:sz="6" w:space="0" w:color="D9D9D9"/>
          <w:bottom w:val="single" w:sz="6" w:space="0" w:color="D9D9D9"/>
          <w:right w:val="single" w:sz="6" w:space="0" w:color="D9D9D9"/>
        </w:tblBorders>
        <w:tblCellMar>
          <w:left w:w="0" w:type="dxa"/>
          <w:right w:w="0" w:type="dxa"/>
        </w:tblCellMar>
        <w:tblLook w:val="04A0" w:firstRow="1" w:lastRow="0" w:firstColumn="1" w:lastColumn="0" w:noHBand="0" w:noVBand="1"/>
      </w:tblPr>
      <w:tblGrid>
        <w:gridCol w:w="779"/>
        <w:gridCol w:w="4063"/>
        <w:gridCol w:w="1094"/>
        <w:gridCol w:w="2377"/>
        <w:gridCol w:w="965"/>
      </w:tblGrid>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Rang</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Entreprise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Création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Siège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Effectif</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SALESFORCE FRANCE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NC</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EXTIA</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Sèvres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995</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MARS FRANCE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1962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Multiples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4.200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MC2I GROUPE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533</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WAVESTONE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2.579</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DELL TECHNOLOGIES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Montpellier</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NC</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LEBONCOIN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530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TALAN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2002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1.750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EQUALINE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Bordeaux</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600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ADIDAS FRANCE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1959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Landersheim</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677</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HYATT HOTELS &amp; RESORTS - FRANCE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1957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NC</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KRYS GROUP</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1966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proofErr w:type="spellStart"/>
            <w:r w:rsidRPr="00410343">
              <w:rPr>
                <w:rFonts w:ascii="inherit" w:eastAsia="Times New Roman" w:hAnsi="inherit" w:cs="Times New Roman"/>
                <w:sz w:val="21"/>
                <w:szCs w:val="21"/>
                <w:lang w:eastAsia="fr-FR"/>
              </w:rPr>
              <w:t>Bazainville</w:t>
            </w:r>
            <w:proofErr w:type="spellEnd"/>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544</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VALRHONA</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1922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Tain-l’Hermitage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709</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ABBVIE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Rungis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677</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START PEOPLE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Saint-Julien-lès-Metz</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671</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LEGALLAIS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1889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Hérouville-Saint-Clair</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840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BRITVIC</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2010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Crolles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651</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ISAGRI</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Beauvais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735</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TAPE A L’OEIL</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Wasquehal</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852</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bookmarkStart w:id="0" w:name="_GoBack"/>
            <w:bookmarkEnd w:id="0"/>
            <w:r w:rsidRPr="00410343">
              <w:rPr>
                <w:rFonts w:ascii="inherit" w:eastAsia="Times New Roman" w:hAnsi="inherit" w:cs="Times New Roman"/>
                <w:sz w:val="21"/>
                <w:szCs w:val="21"/>
                <w:lang w:eastAsia="fr-FR"/>
              </w:rPr>
              <w:t>20</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GROUPE LGM</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Vélizy-Villacoublay</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966</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MANUTAN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1966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Gonesse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543</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GROUPE SII</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1979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Paris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2.832</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VISIATIV</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1987</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Charbonnières-les-Bains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616</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lastRenderedPageBreak/>
              <w:t>24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CARGLASS</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1986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Courbevoie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2.899</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25</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CULTURA</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1998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Mérignac</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3.385</w:t>
            </w:r>
          </w:p>
        </w:tc>
      </w:tr>
    </w:tbl>
    <w:p w:rsidR="00410343" w:rsidRPr="00410343" w:rsidRDefault="00410343" w:rsidP="00410343">
      <w:pPr>
        <w:shd w:val="clear" w:color="auto" w:fill="FFFFFF"/>
        <w:spacing w:before="450" w:after="150" w:line="374" w:lineRule="atLeast"/>
        <w:textAlignment w:val="baseline"/>
        <w:outlineLvl w:val="2"/>
        <w:rPr>
          <w:rFonts w:ascii="Times New Roman" w:eastAsia="Times New Roman" w:hAnsi="Times New Roman" w:cs="Times New Roman"/>
          <w:b/>
          <w:bCs/>
          <w:color w:val="101010"/>
          <w:spacing w:val="11"/>
          <w:sz w:val="27"/>
          <w:szCs w:val="27"/>
          <w:lang w:eastAsia="fr-FR"/>
        </w:rPr>
      </w:pPr>
      <w:r w:rsidRPr="00410343">
        <w:rPr>
          <w:rFonts w:ascii="Times New Roman" w:eastAsia="Times New Roman" w:hAnsi="Times New Roman" w:cs="Times New Roman"/>
          <w:b/>
          <w:bCs/>
          <w:color w:val="101010"/>
          <w:spacing w:val="11"/>
          <w:sz w:val="27"/>
          <w:szCs w:val="27"/>
          <w:lang w:eastAsia="fr-FR"/>
        </w:rPr>
        <w:t>Palmarès des entreprises de plus de 5.000 salariés:</w:t>
      </w:r>
    </w:p>
    <w:tbl>
      <w:tblPr>
        <w:tblW w:w="0" w:type="auto"/>
        <w:tblBorders>
          <w:top w:val="single" w:sz="6" w:space="0" w:color="D9D9D9"/>
          <w:left w:val="single" w:sz="6" w:space="0" w:color="D9D9D9"/>
          <w:bottom w:val="single" w:sz="6" w:space="0" w:color="D9D9D9"/>
          <w:right w:val="single" w:sz="6" w:space="0" w:color="D9D9D9"/>
        </w:tblBorders>
        <w:tblCellMar>
          <w:left w:w="0" w:type="dxa"/>
          <w:right w:w="0" w:type="dxa"/>
        </w:tblCellMar>
        <w:tblLook w:val="04A0" w:firstRow="1" w:lastRow="0" w:firstColumn="1" w:lastColumn="0" w:noHBand="0" w:noVBand="1"/>
      </w:tblPr>
      <w:tblGrid>
        <w:gridCol w:w="779"/>
        <w:gridCol w:w="2739"/>
        <w:gridCol w:w="1094"/>
        <w:gridCol w:w="1881"/>
        <w:gridCol w:w="965"/>
      </w:tblGrid>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Rang</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Entreprise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Création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Siège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b/>
                <w:bCs/>
                <w:sz w:val="21"/>
                <w:szCs w:val="21"/>
                <w:bdr w:val="none" w:sz="0" w:space="0" w:color="auto" w:frame="1"/>
                <w:lang w:eastAsia="fr-FR"/>
              </w:rPr>
              <w:t>Effectif</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DECATHLON</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1976</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Villeneuve d’Ascq</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23.000</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2</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KIABI</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1978</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Hem</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5.611</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LEROY MERLIN FRANCE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1923</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Lille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18.289</w:t>
            </w:r>
          </w:p>
        </w:tc>
      </w:tr>
      <w:tr w:rsidR="00410343" w:rsidRPr="00410343" w:rsidTr="00410343">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4</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MCDONALD’S FRANCE</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1979</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Guyancourt</w:t>
            </w:r>
          </w:p>
        </w:tc>
        <w:tc>
          <w:tcPr>
            <w:tcW w:w="0" w:type="auto"/>
            <w:tcBorders>
              <w:top w:val="single" w:sz="6" w:space="0" w:color="D9D9D9"/>
              <w:left w:val="single" w:sz="6" w:space="0" w:color="D9D9D9"/>
              <w:bottom w:val="single" w:sz="6" w:space="0" w:color="D9D9D9"/>
              <w:right w:val="single" w:sz="6" w:space="0" w:color="D9D9D9"/>
            </w:tcBorders>
            <w:tcMar>
              <w:top w:w="150" w:type="dxa"/>
              <w:left w:w="150" w:type="dxa"/>
              <w:bottom w:w="150" w:type="dxa"/>
              <w:right w:w="1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w:lang w:eastAsia="fr-FR"/>
              </w:rPr>
            </w:pPr>
            <w:r w:rsidRPr="00410343">
              <w:rPr>
                <w:rFonts w:ascii="inherit" w:eastAsia="Times New Roman" w:hAnsi="inherit" w:cs="Times New Roman"/>
                <w:sz w:val="21"/>
                <w:szCs w:val="21"/>
                <w:lang w:eastAsia="fr-FR"/>
              </w:rPr>
              <w:t>76.000</w:t>
            </w:r>
          </w:p>
        </w:tc>
      </w:tr>
    </w:tbl>
    <w:p w:rsidR="00FB6D4E" w:rsidRDefault="00FB6D4E"/>
    <w:sectPr w:rsidR="00FB6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0E2"/>
    <w:multiLevelType w:val="multilevel"/>
    <w:tmpl w:val="C25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12044"/>
    <w:multiLevelType w:val="multilevel"/>
    <w:tmpl w:val="EE4A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51CE5"/>
    <w:multiLevelType w:val="multilevel"/>
    <w:tmpl w:val="82C0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43"/>
    <w:rsid w:val="00410343"/>
    <w:rsid w:val="00FB6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5523">
      <w:bodyDiv w:val="1"/>
      <w:marLeft w:val="0"/>
      <w:marRight w:val="0"/>
      <w:marTop w:val="0"/>
      <w:marBottom w:val="0"/>
      <w:divBdr>
        <w:top w:val="none" w:sz="0" w:space="0" w:color="auto"/>
        <w:left w:val="none" w:sz="0" w:space="0" w:color="auto"/>
        <w:bottom w:val="none" w:sz="0" w:space="0" w:color="auto"/>
        <w:right w:val="none" w:sz="0" w:space="0" w:color="auto"/>
      </w:divBdr>
      <w:divsChild>
        <w:div w:id="1286888977">
          <w:marLeft w:val="0"/>
          <w:marRight w:val="0"/>
          <w:marTop w:val="0"/>
          <w:marBottom w:val="0"/>
          <w:divBdr>
            <w:top w:val="none" w:sz="0" w:space="0" w:color="auto"/>
            <w:left w:val="none" w:sz="0" w:space="0" w:color="auto"/>
            <w:bottom w:val="none" w:sz="0" w:space="0" w:color="auto"/>
            <w:right w:val="none" w:sz="0" w:space="0" w:color="auto"/>
          </w:divBdr>
          <w:divsChild>
            <w:div w:id="1039017542">
              <w:marLeft w:val="0"/>
              <w:marRight w:val="0"/>
              <w:marTop w:val="0"/>
              <w:marBottom w:val="0"/>
              <w:divBdr>
                <w:top w:val="none" w:sz="0" w:space="0" w:color="auto"/>
                <w:left w:val="none" w:sz="0" w:space="0" w:color="auto"/>
                <w:bottom w:val="none" w:sz="0" w:space="0" w:color="auto"/>
                <w:right w:val="none" w:sz="0" w:space="0" w:color="auto"/>
              </w:divBdr>
            </w:div>
          </w:divsChild>
        </w:div>
        <w:div w:id="877548770">
          <w:marLeft w:val="0"/>
          <w:marRight w:val="0"/>
          <w:marTop w:val="0"/>
          <w:marBottom w:val="0"/>
          <w:divBdr>
            <w:top w:val="none" w:sz="0" w:space="0" w:color="auto"/>
            <w:left w:val="none" w:sz="0" w:space="0" w:color="auto"/>
            <w:bottom w:val="none" w:sz="0" w:space="0" w:color="auto"/>
            <w:right w:val="none" w:sz="0" w:space="0" w:color="auto"/>
          </w:divBdr>
          <w:divsChild>
            <w:div w:id="1313825324">
              <w:marLeft w:val="0"/>
              <w:marRight w:val="0"/>
              <w:marTop w:val="0"/>
              <w:marBottom w:val="0"/>
              <w:divBdr>
                <w:top w:val="none" w:sz="0" w:space="0" w:color="auto"/>
                <w:left w:val="none" w:sz="0" w:space="0" w:color="auto"/>
                <w:bottom w:val="none" w:sz="0" w:space="0" w:color="auto"/>
                <w:right w:val="none" w:sz="0" w:space="0" w:color="auto"/>
              </w:divBdr>
            </w:div>
            <w:div w:id="1195072849">
              <w:marLeft w:val="0"/>
              <w:marRight w:val="0"/>
              <w:marTop w:val="0"/>
              <w:marBottom w:val="270"/>
              <w:divBdr>
                <w:top w:val="none" w:sz="0" w:space="0" w:color="auto"/>
                <w:left w:val="none" w:sz="0" w:space="0" w:color="auto"/>
                <w:bottom w:val="none" w:sz="0" w:space="0" w:color="auto"/>
                <w:right w:val="none" w:sz="0" w:space="0" w:color="auto"/>
              </w:divBdr>
              <w:divsChild>
                <w:div w:id="1741827908">
                  <w:marLeft w:val="0"/>
                  <w:marRight w:val="0"/>
                  <w:marTop w:val="0"/>
                  <w:marBottom w:val="0"/>
                  <w:divBdr>
                    <w:top w:val="none" w:sz="0" w:space="0" w:color="auto"/>
                    <w:left w:val="none" w:sz="0" w:space="0" w:color="auto"/>
                    <w:bottom w:val="none" w:sz="0" w:space="0" w:color="auto"/>
                    <w:right w:val="none" w:sz="0" w:space="0" w:color="auto"/>
                  </w:divBdr>
                </w:div>
              </w:divsChild>
            </w:div>
            <w:div w:id="1588542771">
              <w:marLeft w:val="0"/>
              <w:marRight w:val="0"/>
              <w:marTop w:val="0"/>
              <w:marBottom w:val="0"/>
              <w:divBdr>
                <w:top w:val="none" w:sz="0" w:space="0" w:color="auto"/>
                <w:left w:val="none" w:sz="0" w:space="0" w:color="auto"/>
                <w:bottom w:val="none" w:sz="0" w:space="0" w:color="auto"/>
                <w:right w:val="none" w:sz="0" w:space="0" w:color="auto"/>
              </w:divBdr>
              <w:divsChild>
                <w:div w:id="1349023560">
                  <w:marLeft w:val="0"/>
                  <w:marRight w:val="0"/>
                  <w:marTop w:val="150"/>
                  <w:marBottom w:val="450"/>
                  <w:divBdr>
                    <w:top w:val="single" w:sz="6" w:space="15" w:color="D9D9D9"/>
                    <w:left w:val="none" w:sz="0" w:space="0" w:color="auto"/>
                    <w:bottom w:val="single" w:sz="6" w:space="15" w:color="D9D9D9"/>
                    <w:right w:val="none" w:sz="0" w:space="0" w:color="auto"/>
                  </w:divBdr>
                  <w:divsChild>
                    <w:div w:id="2119637449">
                      <w:marLeft w:val="0"/>
                      <w:marRight w:val="0"/>
                      <w:marTop w:val="0"/>
                      <w:marBottom w:val="0"/>
                      <w:divBdr>
                        <w:top w:val="none" w:sz="0" w:space="0" w:color="auto"/>
                        <w:left w:val="none" w:sz="0" w:space="0" w:color="auto"/>
                        <w:bottom w:val="none" w:sz="0" w:space="0" w:color="auto"/>
                        <w:right w:val="none" w:sz="0" w:space="0" w:color="auto"/>
                      </w:divBdr>
                      <w:divsChild>
                        <w:div w:id="9160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3544">
              <w:marLeft w:val="0"/>
              <w:marRight w:val="0"/>
              <w:marTop w:val="0"/>
              <w:marBottom w:val="0"/>
              <w:divBdr>
                <w:top w:val="none" w:sz="0" w:space="0" w:color="auto"/>
                <w:left w:val="none" w:sz="0" w:space="0" w:color="auto"/>
                <w:bottom w:val="none" w:sz="0" w:space="0" w:color="auto"/>
                <w:right w:val="none" w:sz="0" w:space="0" w:color="auto"/>
              </w:divBdr>
              <w:divsChild>
                <w:div w:id="332148895">
                  <w:marLeft w:val="0"/>
                  <w:marRight w:val="0"/>
                  <w:marTop w:val="0"/>
                  <w:marBottom w:val="900"/>
                  <w:divBdr>
                    <w:top w:val="single" w:sz="6" w:space="5" w:color="D9D9D9"/>
                    <w:left w:val="none" w:sz="0" w:space="0" w:color="auto"/>
                    <w:bottom w:val="none" w:sz="0" w:space="0" w:color="auto"/>
                    <w:right w:val="none" w:sz="0" w:space="0" w:color="auto"/>
                  </w:divBdr>
                </w:div>
              </w:divsChild>
            </w:div>
            <w:div w:id="2013219890">
              <w:marLeft w:val="0"/>
              <w:marRight w:val="0"/>
              <w:marTop w:val="0"/>
              <w:marBottom w:val="900"/>
              <w:divBdr>
                <w:top w:val="single" w:sz="6" w:space="5" w:color="D9D9D9"/>
                <w:left w:val="none" w:sz="0" w:space="0" w:color="auto"/>
                <w:bottom w:val="none" w:sz="0" w:space="0" w:color="auto"/>
                <w:right w:val="none" w:sz="0" w:space="0" w:color="auto"/>
              </w:divBdr>
            </w:div>
            <w:div w:id="807553240">
              <w:marLeft w:val="0"/>
              <w:marRight w:val="0"/>
              <w:marTop w:val="0"/>
              <w:marBottom w:val="0"/>
              <w:divBdr>
                <w:top w:val="none" w:sz="0" w:space="0" w:color="auto"/>
                <w:left w:val="none" w:sz="0" w:space="0" w:color="auto"/>
                <w:bottom w:val="none" w:sz="0" w:space="0" w:color="auto"/>
                <w:right w:val="none" w:sz="0" w:space="0" w:color="auto"/>
              </w:divBdr>
              <w:divsChild>
                <w:div w:id="686106241">
                  <w:marLeft w:val="0"/>
                  <w:marRight w:val="0"/>
                  <w:marTop w:val="0"/>
                  <w:marBottom w:val="600"/>
                  <w:divBdr>
                    <w:top w:val="single" w:sz="6" w:space="5" w:color="D9D9D9"/>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llenges.fr/emploi/management/great-place-to-work-ces-entreprises-de-plus-de-5-000-salaries-ou-il-fait-bon-travailler-en-2018_5759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1399</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GROUPE ESSEC</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debeaufort</dc:creator>
  <cp:lastModifiedBy>debeaufort</cp:lastModifiedBy>
  <cp:revision>1</cp:revision>
  <dcterms:created xsi:type="dcterms:W3CDTF">2018-11-01T09:03:00Z</dcterms:created>
  <dcterms:modified xsi:type="dcterms:W3CDTF">2018-11-01T09:05:00Z</dcterms:modified>
</cp:coreProperties>
</file>